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 Given the nature of this framework and the requirements set out within Framework Schedule 1 Specification</w:t>
      </w:r>
      <w:r w:rsidDel="00000000" w:rsidR="00000000" w:rsidRPr="00000000">
        <w:rPr>
          <w:rFonts w:ascii="Arial" w:cs="Arial" w:eastAsia="Arial" w:hAnsi="Arial"/>
          <w:sz w:val="24"/>
          <w:szCs w:val="24"/>
          <w:rtl w:val="0"/>
        </w:rPr>
        <w:t xml:space="preserve">, it is expected that regular reviews of the structure and management activities will be required and that these reviews will ensure that any appropriate changes, agreed in writing by the </w:t>
      </w:r>
      <w:r w:rsidDel="00000000" w:rsidR="00000000" w:rsidRPr="00000000">
        <w:rPr>
          <w:rFonts w:ascii="Arial" w:cs="Arial" w:eastAsia="Arial" w:hAnsi="Arial"/>
          <w:sz w:val="24"/>
          <w:szCs w:val="24"/>
          <w:rtl w:val="0"/>
        </w:rPr>
        <w:t xml:space="preserve">Parties</w:t>
      </w:r>
      <w:r w:rsidDel="00000000" w:rsidR="00000000" w:rsidRPr="00000000">
        <w:rPr>
          <w:rFonts w:ascii="Arial" w:cs="Arial" w:eastAsia="Arial" w:hAnsi="Arial"/>
          <w:sz w:val="24"/>
          <w:szCs w:val="24"/>
          <w:rtl w:val="0"/>
        </w:rPr>
        <w:t xml:space="preserve">, are aligned to the direction of government policy and the specific needs of both Buyers and CCS requirements. </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3"/>
        </w:numPr>
        <w:tabs>
          <w:tab w:val="left" w:pos="1134"/>
        </w:tabs>
        <w:spacing w:after="120" w:before="120" w:line="240" w:lineRule="auto"/>
        <w:ind w:left="720" w:hanging="360"/>
        <w:rPr>
          <w:b w:val="1"/>
        </w:rPr>
      </w:pPr>
      <w:r w:rsidDel="00000000" w:rsidR="00000000" w:rsidRPr="00000000">
        <w:rPr>
          <w:rFonts w:ascii="Arial" w:cs="Arial" w:eastAsia="Arial" w:hAnsi="Arial"/>
          <w:sz w:val="24"/>
          <w:szCs w:val="24"/>
          <w:rtl w:val="0"/>
        </w:rPr>
        <w:t xml:space="preserve">Within 90 days of the Framework Start Date and then subsequently on an annual basis (during the Framework award period) 30 days prior to each anniversary of the Framework Start Date, the Supplier shall present to CCS a “Customer Management and Mobilisation Plan” for review and agreement by CCS, which will set out the Suppliers customer engagement strategy for the period covering the following 12 months. </w:t>
      </w:r>
    </w:p>
    <w:p w:rsidR="00000000" w:rsidDel="00000000" w:rsidP="00000000" w:rsidRDefault="00000000" w:rsidRPr="00000000" w14:paraId="00000012">
      <w:pPr>
        <w:tabs>
          <w:tab w:val="left" w:pos="1134"/>
        </w:tabs>
        <w:spacing w:after="120" w:before="120" w:line="24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Customer Management and Mobilisation Plan will cover the following but will not be limited to;</w:t>
      </w:r>
    </w:p>
    <w:p w:rsidR="00000000" w:rsidDel="00000000" w:rsidP="00000000" w:rsidRDefault="00000000" w:rsidRPr="00000000" w14:paraId="00000013">
      <w:pPr>
        <w:numPr>
          <w:ilvl w:val="0"/>
          <w:numId w:val="4"/>
        </w:numPr>
        <w:tabs>
          <w:tab w:val="left" w:pos="1134"/>
        </w:tabs>
        <w:spacing w:after="0" w:afterAutospacing="0" w:before="12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Strategic and Operational Aims and Objectives;</w:t>
      </w:r>
    </w:p>
    <w:p w:rsidR="00000000" w:rsidDel="00000000" w:rsidP="00000000" w:rsidRDefault="00000000" w:rsidRPr="00000000" w14:paraId="00000014">
      <w:pPr>
        <w:numPr>
          <w:ilvl w:val="0"/>
          <w:numId w:val="4"/>
        </w:numPr>
        <w:tabs>
          <w:tab w:val="left" w:pos="1134"/>
        </w:tabs>
        <w:spacing w:after="0" w:afterAutospacing="0" w:before="0" w:beforeAutospacing="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Suppliers growth ambitions and targets for the period;</w:t>
      </w:r>
    </w:p>
    <w:p w:rsidR="00000000" w:rsidDel="00000000" w:rsidP="00000000" w:rsidRDefault="00000000" w:rsidRPr="00000000" w14:paraId="00000015">
      <w:pPr>
        <w:numPr>
          <w:ilvl w:val="0"/>
          <w:numId w:val="4"/>
        </w:numPr>
        <w:tabs>
          <w:tab w:val="left" w:pos="1134"/>
        </w:tabs>
        <w:spacing w:after="0" w:afterAutospacing="0" w:before="0" w:beforeAutospacing="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Suppliers Public Sector customer facing infrastructure and details of how this will support the customer interaction activities;</w:t>
      </w:r>
    </w:p>
    <w:p w:rsidR="00000000" w:rsidDel="00000000" w:rsidP="00000000" w:rsidRDefault="00000000" w:rsidRPr="00000000" w14:paraId="00000016">
      <w:pPr>
        <w:numPr>
          <w:ilvl w:val="0"/>
          <w:numId w:val="4"/>
        </w:numPr>
        <w:tabs>
          <w:tab w:val="left" w:pos="1134"/>
        </w:tabs>
        <w:spacing w:after="0" w:afterAutospacing="0" w:before="0" w:beforeAutospacing="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Customer Opportunity Realisation Plan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(Lot 1 Procurement Cards should consider how the Supplier will work with Buyers to identify opportunities for growth and therefore enable payments to be made to an increased number of merchants and work with Buyers to transition spend into their call off contracts and the RM6248 Payment Solutions 2 Framework Agreement inline with Framework Schedule 1 Specification), </w:t>
      </w:r>
    </w:p>
    <w:p w:rsidR="00000000" w:rsidDel="00000000" w:rsidP="00000000" w:rsidRDefault="00000000" w:rsidRPr="00000000" w14:paraId="00000017">
      <w:pPr>
        <w:numPr>
          <w:ilvl w:val="0"/>
          <w:numId w:val="4"/>
        </w:numPr>
        <w:tabs>
          <w:tab w:val="left" w:pos="1134"/>
        </w:tabs>
        <w:spacing w:after="0" w:afterAutospacing="0" w:before="0" w:beforeAutospacing="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Customer Engagement strategy (inc. frequency of interaction with existing customers);</w:t>
      </w:r>
    </w:p>
    <w:p w:rsidR="00000000" w:rsidDel="00000000" w:rsidP="00000000" w:rsidRDefault="00000000" w:rsidRPr="00000000" w14:paraId="00000018">
      <w:pPr>
        <w:numPr>
          <w:ilvl w:val="0"/>
          <w:numId w:val="4"/>
        </w:numPr>
        <w:tabs>
          <w:tab w:val="left" w:pos="1134"/>
        </w:tabs>
        <w:spacing w:after="0" w:afterAutospacing="0" w:before="0" w:beforeAutospacing="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Marketing plan;</w:t>
      </w:r>
    </w:p>
    <w:p w:rsidR="00000000" w:rsidDel="00000000" w:rsidP="00000000" w:rsidRDefault="00000000" w:rsidRPr="00000000" w14:paraId="00000019">
      <w:pPr>
        <w:numPr>
          <w:ilvl w:val="0"/>
          <w:numId w:val="4"/>
        </w:numPr>
        <w:tabs>
          <w:tab w:val="left" w:pos="1134"/>
        </w:tabs>
        <w:spacing w:after="0" w:afterAutospacing="0" w:before="0" w:beforeAutospacing="0" w:line="240" w:lineRule="auto"/>
        <w:ind w:left="144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Review of previous years plan against aims and objectives (and lessons learnt);</w:t>
      </w:r>
    </w:p>
    <w:p w:rsidR="00000000" w:rsidDel="00000000" w:rsidP="00000000" w:rsidRDefault="00000000" w:rsidRPr="00000000" w14:paraId="0000001A">
      <w:pPr>
        <w:numPr>
          <w:ilvl w:val="0"/>
          <w:numId w:val="4"/>
        </w:numPr>
        <w:tabs>
          <w:tab w:val="left" w:pos="1134"/>
        </w:tabs>
        <w:spacing w:after="120" w:before="0" w:beforeAutospacing="0" w:line="24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New Customer identification opportunity plan and </w:t>
      </w:r>
      <w:r w:rsidDel="00000000" w:rsidR="00000000" w:rsidRPr="00000000">
        <w:rPr>
          <w:rFonts w:ascii="Arial" w:cs="Arial" w:eastAsia="Arial" w:hAnsi="Arial"/>
          <w:sz w:val="24"/>
          <w:szCs w:val="24"/>
          <w:rtl w:val="0"/>
        </w:rPr>
        <w:t xml:space="preserve">pipelines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B">
      <w:pPr>
        <w:tabs>
          <w:tab w:val="left" w:pos="1134"/>
        </w:tabs>
        <w:spacing w:after="120" w:before="120" w:line="240" w:lineRule="auto"/>
        <w:ind w:left="992.125984251968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line with Framework Schedule 1 Specification, the Suppliers Customer Management and Mobilisation Plan should focus on Continuous Improvement and determine how the Suppliers processes and dedicated resources will proactively work with Buyers in line with Call Off Schedule 3 Continuous Improvement to identify new or potential improvements to the provision of the Deliverables with a view to reducing the Buyer’s costs (including the Charges where appropriate) or increasing customer rebates as a result of increased transactional spend (Lot 1 Procurement Card) and/or improving the quality and efficiency of the Deliverables and their supply to the Buyer. </w:t>
      </w:r>
    </w:p>
    <w:p w:rsidR="00000000" w:rsidDel="00000000" w:rsidP="00000000" w:rsidRDefault="00000000" w:rsidRPr="00000000" w14:paraId="0000001C">
      <w:pPr>
        <w:numPr>
          <w:ilvl w:val="1"/>
          <w:numId w:val="3"/>
        </w:numPr>
        <w:tabs>
          <w:tab w:val="left" w:pos="1134"/>
        </w:tabs>
        <w:spacing w:after="120" w:before="120" w:line="240" w:lineRule="auto"/>
        <w:ind w:left="720" w:hanging="360"/>
        <w:rPr>
          <w:b w:val="1"/>
        </w:rPr>
      </w:pPr>
      <w:r w:rsidDel="00000000" w:rsidR="00000000" w:rsidRPr="00000000">
        <w:rPr>
          <w:rFonts w:ascii="Arial" w:cs="Arial" w:eastAsia="Arial" w:hAnsi="Arial"/>
          <w:sz w:val="24"/>
          <w:szCs w:val="24"/>
          <w:rtl w:val="0"/>
        </w:rPr>
        <w:t xml:space="preserve">The “Supplier Framework Manager” will ensure that all customer rebates (Lot 1 Procurement Card) are paid to customers within 3 months of the rebate “due” date in line with Framework Schedule 1 Specification and confirmation of these payments are made to CCS. </w:t>
      </w:r>
    </w:p>
    <w:p w:rsidR="00000000" w:rsidDel="00000000" w:rsidP="00000000" w:rsidRDefault="00000000" w:rsidRPr="00000000" w14:paraId="0000001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E">
      <w:pPr>
        <w:rPr>
          <w:rFonts w:ascii="Arial" w:cs="Arial" w:eastAsia="Arial" w:hAnsi="Arial"/>
          <w:sz w:val="24"/>
          <w:szCs w:val="24"/>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2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2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2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2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2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28">
      <w:pPr>
        <w:widowControl w:val="0"/>
        <w:numPr>
          <w:ilvl w:val="1"/>
          <w:numId w:val="3"/>
        </w:numPr>
        <w:tabs>
          <w:tab w:val="left" w:pos="1134"/>
        </w:tabs>
        <w:spacing w:after="0" w:line="240" w:lineRule="auto"/>
        <w:ind w:left="720" w:hanging="360"/>
        <w:rPr>
          <w:sz w:val="26"/>
          <w:szCs w:val="26"/>
        </w:rPr>
      </w:pPr>
      <w:r w:rsidDel="00000000" w:rsidR="00000000" w:rsidRPr="00000000">
        <w:rPr>
          <w:rFonts w:ascii="Arial" w:cs="Arial" w:eastAsia="Arial" w:hAnsi="Arial"/>
          <w:color w:val="222222"/>
          <w:sz w:val="24"/>
          <w:szCs w:val="24"/>
          <w:highlight w:val="white"/>
          <w:rtl w:val="0"/>
        </w:rPr>
        <w:t xml:space="preserve">The Supplier will submit at least one customer Case Study (or customer testimonial) on an annual basis - Case Studies will reflect the customer requirement relative to Framework Schedule 1 Specification and set out the operational and financial benefits relative to the Buyers Call Off contract, together with the Social Value benefits in line with Joint Schedule 5 Corporate Social Responsibility, delivered relative to the underlying use of the framework itself and presented to CCS in such a way, including any customer approvals as necessary, that it can be used by CCS for its customer facing activities.</w:t>
      </w:r>
    </w:p>
    <w:p w:rsidR="00000000" w:rsidDel="00000000" w:rsidP="00000000" w:rsidRDefault="00000000" w:rsidRPr="00000000" w14:paraId="00000029">
      <w:pPr>
        <w:widowControl w:val="0"/>
        <w:tabs>
          <w:tab w:val="left" w:pos="1134"/>
        </w:tabs>
        <w:spacing w:after="0" w:line="240" w:lineRule="auto"/>
        <w:ind w:left="720" w:firstLine="0"/>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2A">
      <w:pPr>
        <w:widowControl w:val="0"/>
        <w:numPr>
          <w:ilvl w:val="1"/>
          <w:numId w:val="3"/>
        </w:numPr>
        <w:tabs>
          <w:tab w:val="left" w:pos="1134"/>
        </w:tabs>
        <w:spacing w:after="0" w:line="240" w:lineRule="auto"/>
        <w:ind w:left="720" w:hanging="360"/>
        <w:rPr>
          <w:rFonts w:ascii="Arial" w:cs="Arial" w:eastAsia="Arial" w:hAnsi="Arial"/>
          <w:color w:val="222222"/>
          <w:highlight w:val="white"/>
        </w:rPr>
      </w:pPr>
      <w:r w:rsidDel="00000000" w:rsidR="00000000" w:rsidRPr="00000000">
        <w:rPr>
          <w:rFonts w:ascii="Arial" w:cs="Arial" w:eastAsia="Arial" w:hAnsi="Arial"/>
          <w:color w:val="222222"/>
          <w:sz w:val="24"/>
          <w:szCs w:val="24"/>
          <w:highlight w:val="white"/>
          <w:rtl w:val="0"/>
        </w:rPr>
        <w:t xml:space="preserve">The Supplier will advise CCS of any Call-Off Contract being awarded with a transactional spend value of £20 million or greater (Lot 1 Procurement Cards and Lot 2 Prepaid Cards) or direct spend value of £100K (Lot 3 Vouchers) pursuant to this Framework, within 5 working days of the Buyers Call Off commencement date and then also in a high level report to be submitted to CCS at the end of the month in which the Buyers Call Off contract commences. The report should include as a minimum;</w:t>
      </w:r>
    </w:p>
    <w:p w:rsidR="00000000" w:rsidDel="00000000" w:rsidP="00000000" w:rsidRDefault="00000000" w:rsidRPr="00000000" w14:paraId="0000002B">
      <w:pPr>
        <w:widowControl w:val="0"/>
        <w:tabs>
          <w:tab w:val="left" w:pos="1134"/>
        </w:tabs>
        <w:spacing w:after="0" w:line="240" w:lineRule="auto"/>
        <w:ind w:left="720" w:firstLine="0"/>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2C">
      <w:pPr>
        <w:widowControl w:val="0"/>
        <w:numPr>
          <w:ilvl w:val="0"/>
          <w:numId w:val="5"/>
        </w:numPr>
        <w:tabs>
          <w:tab w:val="left" w:pos="1134"/>
        </w:tabs>
        <w:spacing w:after="0" w:line="240" w:lineRule="auto"/>
        <w:ind w:left="1440" w:hanging="360"/>
        <w:rPr>
          <w:rFonts w:ascii="Arial" w:cs="Arial" w:eastAsia="Arial" w:hAnsi="Arial"/>
          <w:color w:val="222222"/>
          <w:sz w:val="24"/>
          <w:szCs w:val="24"/>
          <w:highlight w:val="white"/>
          <w:u w:val="none"/>
        </w:rPr>
      </w:pPr>
      <w:r w:rsidDel="00000000" w:rsidR="00000000" w:rsidRPr="00000000">
        <w:rPr>
          <w:rFonts w:ascii="Arial" w:cs="Arial" w:eastAsia="Arial" w:hAnsi="Arial"/>
          <w:color w:val="222222"/>
          <w:sz w:val="24"/>
          <w:szCs w:val="24"/>
          <w:highlight w:val="white"/>
          <w:rtl w:val="0"/>
        </w:rPr>
        <w:t xml:space="preserve">Buyer Organisation name;</w:t>
      </w:r>
    </w:p>
    <w:p w:rsidR="00000000" w:rsidDel="00000000" w:rsidP="00000000" w:rsidRDefault="00000000" w:rsidRPr="00000000" w14:paraId="0000002D">
      <w:pPr>
        <w:widowControl w:val="0"/>
        <w:numPr>
          <w:ilvl w:val="0"/>
          <w:numId w:val="5"/>
        </w:numPr>
        <w:tabs>
          <w:tab w:val="left" w:pos="1134"/>
        </w:tabs>
        <w:spacing w:after="0" w:line="240" w:lineRule="auto"/>
        <w:ind w:left="1440" w:hanging="360"/>
        <w:rPr>
          <w:rFonts w:ascii="Arial" w:cs="Arial" w:eastAsia="Arial" w:hAnsi="Arial"/>
          <w:color w:val="222222"/>
          <w:sz w:val="24"/>
          <w:szCs w:val="24"/>
          <w:highlight w:val="white"/>
          <w:u w:val="none"/>
        </w:rPr>
      </w:pPr>
      <w:r w:rsidDel="00000000" w:rsidR="00000000" w:rsidRPr="00000000">
        <w:rPr>
          <w:rFonts w:ascii="Arial" w:cs="Arial" w:eastAsia="Arial" w:hAnsi="Arial"/>
          <w:color w:val="222222"/>
          <w:sz w:val="24"/>
          <w:szCs w:val="24"/>
          <w:highlight w:val="white"/>
          <w:rtl w:val="0"/>
        </w:rPr>
        <w:t xml:space="preserve">Nature of Call Off (product type, volumes etc);</w:t>
      </w:r>
    </w:p>
    <w:p w:rsidR="00000000" w:rsidDel="00000000" w:rsidP="00000000" w:rsidRDefault="00000000" w:rsidRPr="00000000" w14:paraId="0000002E">
      <w:pPr>
        <w:widowControl w:val="0"/>
        <w:numPr>
          <w:ilvl w:val="0"/>
          <w:numId w:val="5"/>
        </w:numPr>
        <w:tabs>
          <w:tab w:val="left" w:pos="1134"/>
        </w:tabs>
        <w:spacing w:after="0" w:line="240" w:lineRule="auto"/>
        <w:ind w:left="1440" w:hanging="360"/>
        <w:rPr>
          <w:rFonts w:ascii="Arial" w:cs="Arial" w:eastAsia="Arial" w:hAnsi="Arial"/>
          <w:color w:val="222222"/>
          <w:sz w:val="24"/>
          <w:szCs w:val="24"/>
          <w:highlight w:val="white"/>
          <w:u w:val="none"/>
        </w:rPr>
      </w:pPr>
      <w:r w:rsidDel="00000000" w:rsidR="00000000" w:rsidRPr="00000000">
        <w:rPr>
          <w:rFonts w:ascii="Arial" w:cs="Arial" w:eastAsia="Arial" w:hAnsi="Arial"/>
          <w:color w:val="222222"/>
          <w:sz w:val="24"/>
          <w:szCs w:val="24"/>
          <w:highlight w:val="white"/>
          <w:rtl w:val="0"/>
        </w:rPr>
        <w:t xml:space="preserve">Annual and Total Call Off value;</w:t>
      </w:r>
    </w:p>
    <w:p w:rsidR="00000000" w:rsidDel="00000000" w:rsidP="00000000" w:rsidRDefault="00000000" w:rsidRPr="00000000" w14:paraId="0000002F">
      <w:pPr>
        <w:widowControl w:val="0"/>
        <w:numPr>
          <w:ilvl w:val="0"/>
          <w:numId w:val="5"/>
        </w:numPr>
        <w:tabs>
          <w:tab w:val="left" w:pos="1134"/>
        </w:tabs>
        <w:spacing w:after="0" w:line="240" w:lineRule="auto"/>
        <w:ind w:left="1440" w:hanging="360"/>
        <w:rPr>
          <w:rFonts w:ascii="Arial" w:cs="Arial" w:eastAsia="Arial" w:hAnsi="Arial"/>
          <w:color w:val="222222"/>
          <w:sz w:val="24"/>
          <w:szCs w:val="24"/>
          <w:highlight w:val="white"/>
          <w:u w:val="none"/>
        </w:rPr>
      </w:pPr>
      <w:r w:rsidDel="00000000" w:rsidR="00000000" w:rsidRPr="00000000">
        <w:rPr>
          <w:rFonts w:ascii="Arial" w:cs="Arial" w:eastAsia="Arial" w:hAnsi="Arial"/>
          <w:color w:val="222222"/>
          <w:sz w:val="24"/>
          <w:szCs w:val="24"/>
          <w:highlight w:val="white"/>
          <w:rtl w:val="0"/>
        </w:rPr>
        <w:t xml:space="preserve">Call Off commencement/expiry dates</w:t>
      </w:r>
    </w:p>
    <w:p w:rsidR="00000000" w:rsidDel="00000000" w:rsidP="00000000" w:rsidRDefault="00000000" w:rsidRPr="00000000" w14:paraId="00000030">
      <w:pPr>
        <w:widowControl w:val="0"/>
        <w:tabs>
          <w:tab w:val="left" w:pos="1134"/>
        </w:tabs>
        <w:spacing w:after="0" w:line="240" w:lineRule="auto"/>
        <w:ind w:left="0" w:firstLine="0"/>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31">
      <w:pPr>
        <w:widowControl w:val="0"/>
        <w:tabs>
          <w:tab w:val="left" w:pos="1134"/>
        </w:tabs>
        <w:spacing w:after="0" w:line="240" w:lineRule="auto"/>
        <w:ind w:left="720" w:firstLine="0"/>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32">
      <w:pPr>
        <w:widowControl w:val="0"/>
        <w:numPr>
          <w:ilvl w:val="1"/>
          <w:numId w:val="3"/>
        </w:numPr>
        <w:tabs>
          <w:tab w:val="left" w:pos="1134"/>
        </w:tabs>
        <w:spacing w:after="0" w:line="240" w:lineRule="auto"/>
        <w:ind w:left="720" w:hanging="360"/>
        <w:rPr>
          <w:rFonts w:ascii="Arial" w:cs="Arial" w:eastAsia="Arial" w:hAnsi="Arial"/>
          <w:color w:val="222222"/>
          <w:highlight w:val="white"/>
        </w:rPr>
      </w:pPr>
      <w:r w:rsidDel="00000000" w:rsidR="00000000" w:rsidRPr="00000000">
        <w:rPr>
          <w:rFonts w:ascii="Arial" w:cs="Arial" w:eastAsia="Arial" w:hAnsi="Arial"/>
          <w:color w:val="222222"/>
          <w:sz w:val="24"/>
          <w:szCs w:val="24"/>
          <w:highlight w:val="white"/>
          <w:rtl w:val="0"/>
        </w:rPr>
        <w:t xml:space="preserve">The Supplier will support CCS in response to any request for data and reports on an ad hoc basis - the purpose of these requests may assist CCS in response to Parliamentary questions or other ‘committee’ requests. The supplier will aim to respond to such requests within 24 hours of the request being made or set to establish revised response timescales within the same period, if 24 hours cannot be met.</w:t>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w:t>
      </w:r>
      <w:r w:rsidDel="00000000" w:rsidR="00000000" w:rsidRPr="00000000">
        <w:rPr>
          <w:rFonts w:ascii="Arial" w:cs="Arial" w:eastAsia="Arial" w:hAnsi="Arial"/>
          <w:sz w:val="24"/>
          <w:szCs w:val="24"/>
          <w:rtl w:val="0"/>
        </w:rPr>
        <w:t xml:space="preserve">Customer Management and Mobilisation Plan  to discuss and agree collaborative opportunities and action to drive growth of service usage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3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B">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C">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1"/>
              <w:keepLines w:val="0"/>
              <w:pageBreakBefore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120" w:before="120" w:lineRule="auto"/>
              <w:rPr/>
            </w:pPr>
            <w:r w:rsidDel="00000000" w:rsidR="00000000" w:rsidRPr="00000000">
              <w:rPr>
                <w:rtl w:val="0"/>
              </w:rPr>
              <w:t xml:space="preserve">1.1 MI returns: All MI returns to be returned to CCS by the 5th Working Day of each month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Calibri" w:cs="Calibri" w:eastAsia="Calibri" w:hAnsi="Calibri"/>
                <w:b w:val="1"/>
                <w:i w:val="0"/>
                <w:smallCaps w:val="0"/>
                <w:strike w:val="0"/>
                <w:color w:val="000000"/>
                <w:sz w:val="22"/>
                <w:szCs w:val="22"/>
                <w:highlight w:val="green"/>
                <w:u w:val="none"/>
                <w:vertAlign w:val="baseline"/>
              </w:rPr>
            </w:pPr>
            <w:r w:rsidDel="00000000" w:rsidR="00000000" w:rsidRPr="00000000">
              <w:rPr>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rPr>
                <w:b w:val="1"/>
              </w:rPr>
            </w:pPr>
            <w:r w:rsidDel="00000000" w:rsidR="00000000" w:rsidRPr="00000000">
              <w:rPr>
                <w:rtl w:val="0"/>
              </w:rPr>
              <w:t xml:space="preserve">Confirmation of receipt and time of receipt by the Authority (as evidenced within the Authority’s data warehouse (MISO) system) </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rPr/>
            </w:pPr>
            <w:r w:rsidDel="00000000" w:rsidR="00000000" w:rsidRPr="00000000">
              <w:rPr>
                <w:rtl w:val="0"/>
              </w:rPr>
              <w:t xml:space="preserve">1.2 All undisputed invoices to be paid within 30 calendar days of issue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pPr>
            <w:r w:rsidDel="00000000" w:rsidR="00000000" w:rsidRPr="00000000">
              <w:rPr>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rPr/>
            </w:pPr>
            <w:r w:rsidDel="00000000" w:rsidR="00000000" w:rsidRPr="00000000">
              <w:rPr>
                <w:rtl w:val="0"/>
              </w:rPr>
              <w:t xml:space="preserve">Confirmation of receipt and time of receipt by the Authority (as evidenced within the Authority’s CODA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rPr/>
            </w:pPr>
            <w:r w:rsidDel="00000000" w:rsidR="00000000" w:rsidRPr="00000000">
              <w:rPr>
                <w:rtl w:val="0"/>
              </w:rPr>
              <w:t xml:space="preserve">1.3 Supplier self-audit certificate to be issued to the Authority in accordance with the Framework Agreement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pPr>
            <w:r w:rsidDel="00000000" w:rsidR="00000000" w:rsidRPr="00000000">
              <w:rPr>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rPr/>
            </w:pPr>
            <w:r w:rsidDel="00000000" w:rsidR="00000000" w:rsidRPr="00000000">
              <w:rPr>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rPr>
                <w:b w:val="1"/>
              </w:rPr>
            </w:pPr>
            <w:r w:rsidDel="00000000" w:rsidR="00000000" w:rsidRPr="00000000">
              <w:rPr>
                <w:rtl w:val="0"/>
              </w:rPr>
              <w:t xml:space="preserve">1.4 Actions identified in an Audit Report to be delivered by the dates set out in the Audit Report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Confirmation by the Authority of completion of the actions by the dates identified in the Audit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rPr>
                <w:rFonts w:ascii="Roboto" w:cs="Roboto" w:eastAsia="Roboto" w:hAnsi="Roboto"/>
                <w:color w:val="3c4043"/>
                <w:sz w:val="21"/>
                <w:szCs w:val="21"/>
                <w:highlight w:val="white"/>
              </w:rPr>
            </w:pPr>
            <w:r w:rsidDel="00000000" w:rsidR="00000000" w:rsidRPr="00000000">
              <w:rPr>
                <w:rFonts w:ascii="Roboto" w:cs="Roboto" w:eastAsia="Roboto" w:hAnsi="Roboto"/>
                <w:color w:val="3c4043"/>
                <w:sz w:val="21"/>
                <w:szCs w:val="21"/>
                <w:highlight w:val="white"/>
                <w:rtl w:val="0"/>
              </w:rPr>
              <w:t xml:space="preserve">1.5 Submission of monthly Spend Type MI showing: </w:t>
            </w:r>
          </w:p>
          <w:p w:rsidR="00000000" w:rsidDel="00000000" w:rsidP="00000000" w:rsidRDefault="00000000" w:rsidRPr="00000000" w14:paraId="0000004E">
            <w:pPr>
              <w:numPr>
                <w:ilvl w:val="0"/>
                <w:numId w:val="1"/>
              </w:numPr>
              <w:spacing w:after="0" w:afterAutospacing="0"/>
              <w:ind w:left="283.46456692913375" w:hanging="300"/>
              <w:rPr>
                <w:rFonts w:ascii="Roboto" w:cs="Roboto" w:eastAsia="Roboto" w:hAnsi="Roboto"/>
                <w:color w:val="3c4043"/>
                <w:sz w:val="21"/>
                <w:szCs w:val="21"/>
                <w:highlight w:val="white"/>
                <w:u w:val="none"/>
              </w:rPr>
            </w:pPr>
            <w:r w:rsidDel="00000000" w:rsidR="00000000" w:rsidRPr="00000000">
              <w:rPr>
                <w:rFonts w:ascii="Roboto" w:cs="Roboto" w:eastAsia="Roboto" w:hAnsi="Roboto"/>
                <w:color w:val="3c4043"/>
                <w:sz w:val="21"/>
                <w:szCs w:val="21"/>
                <w:highlight w:val="white"/>
                <w:rtl w:val="0"/>
              </w:rPr>
              <w:t xml:space="preserve">customer level spend data by Industry code and an aggregated spend by month by industry code.</w:t>
            </w:r>
          </w:p>
          <w:p w:rsidR="00000000" w:rsidDel="00000000" w:rsidP="00000000" w:rsidRDefault="00000000" w:rsidRPr="00000000" w14:paraId="0000004F">
            <w:pPr>
              <w:numPr>
                <w:ilvl w:val="0"/>
                <w:numId w:val="1"/>
              </w:numPr>
              <w:spacing w:after="0" w:afterAutospacing="0"/>
              <w:ind w:left="283.46456692913375" w:hanging="300"/>
              <w:rPr>
                <w:rFonts w:ascii="Roboto" w:cs="Roboto" w:eastAsia="Roboto" w:hAnsi="Roboto"/>
                <w:color w:val="3c4043"/>
                <w:sz w:val="21"/>
                <w:szCs w:val="21"/>
                <w:highlight w:val="white"/>
                <w:u w:val="none"/>
              </w:rPr>
            </w:pPr>
            <w:r w:rsidDel="00000000" w:rsidR="00000000" w:rsidRPr="00000000">
              <w:rPr>
                <w:rFonts w:ascii="Roboto" w:cs="Roboto" w:eastAsia="Roboto" w:hAnsi="Roboto"/>
                <w:color w:val="3c4043"/>
                <w:sz w:val="21"/>
                <w:szCs w:val="21"/>
                <w:highlight w:val="white"/>
                <w:rtl w:val="0"/>
              </w:rPr>
              <w:t xml:space="preserve">customer level data relating to the number of transactions made by each customer.</w:t>
            </w:r>
          </w:p>
          <w:p w:rsidR="00000000" w:rsidDel="00000000" w:rsidP="00000000" w:rsidRDefault="00000000" w:rsidRPr="00000000" w14:paraId="00000050">
            <w:pPr>
              <w:numPr>
                <w:ilvl w:val="0"/>
                <w:numId w:val="1"/>
              </w:numPr>
              <w:ind w:left="283.46456692913375" w:hanging="300"/>
              <w:rPr>
                <w:rFonts w:ascii="Roboto" w:cs="Roboto" w:eastAsia="Roboto" w:hAnsi="Roboto"/>
                <w:color w:val="3c4043"/>
                <w:sz w:val="21"/>
                <w:szCs w:val="21"/>
                <w:highlight w:val="white"/>
                <w:u w:val="none"/>
              </w:rPr>
            </w:pPr>
            <w:r w:rsidDel="00000000" w:rsidR="00000000" w:rsidRPr="00000000">
              <w:rPr>
                <w:rFonts w:ascii="Roboto" w:cs="Roboto" w:eastAsia="Roboto" w:hAnsi="Roboto"/>
                <w:color w:val="3c4043"/>
                <w:sz w:val="21"/>
                <w:szCs w:val="21"/>
                <w:highlight w:val="white"/>
                <w:rtl w:val="0"/>
              </w:rPr>
              <w:t xml:space="preserve">an anonymised all UK client view of (a) ie. shows spend by industry code.</w:t>
            </w:r>
          </w:p>
          <w:p w:rsidR="00000000" w:rsidDel="00000000" w:rsidP="00000000" w:rsidRDefault="00000000" w:rsidRPr="00000000" w14:paraId="00000051">
            <w:pPr>
              <w:rPr>
                <w:rFonts w:ascii="Roboto" w:cs="Roboto" w:eastAsia="Roboto" w:hAnsi="Roboto"/>
                <w:color w:val="3c4043"/>
                <w:sz w:val="21"/>
                <w:szCs w:val="21"/>
                <w:highlight w:val="white"/>
              </w:rPr>
            </w:pPr>
            <w:r w:rsidDel="00000000" w:rsidR="00000000" w:rsidRPr="00000000">
              <w:rPr>
                <w:rFonts w:ascii="Roboto" w:cs="Roboto" w:eastAsia="Roboto" w:hAnsi="Roboto"/>
                <w:color w:val="3c4043"/>
                <w:sz w:val="21"/>
                <w:szCs w:val="21"/>
                <w:highlight w:val="white"/>
                <w:rtl w:val="0"/>
              </w:rPr>
              <w:t xml:space="preserve">On request by the Authority, Supplier to provide:</w:t>
            </w:r>
          </w:p>
          <w:p w:rsidR="00000000" w:rsidDel="00000000" w:rsidP="00000000" w:rsidRDefault="00000000" w:rsidRPr="00000000" w14:paraId="00000052">
            <w:pPr>
              <w:numPr>
                <w:ilvl w:val="0"/>
                <w:numId w:val="1"/>
              </w:numPr>
              <w:ind w:left="283.46456692913375" w:hanging="300"/>
              <w:rPr>
                <w:rFonts w:ascii="Roboto" w:cs="Roboto" w:eastAsia="Roboto" w:hAnsi="Roboto"/>
                <w:color w:val="3c4043"/>
                <w:sz w:val="21"/>
                <w:szCs w:val="21"/>
                <w:highlight w:val="white"/>
                <w:u w:val="none"/>
              </w:rPr>
            </w:pPr>
            <w:r w:rsidDel="00000000" w:rsidR="00000000" w:rsidRPr="00000000">
              <w:rPr>
                <w:rFonts w:ascii="Roboto" w:cs="Roboto" w:eastAsia="Roboto" w:hAnsi="Roboto"/>
                <w:color w:val="3c4043"/>
                <w:sz w:val="21"/>
                <w:szCs w:val="21"/>
                <w:highlight w:val="white"/>
                <w:rtl w:val="0"/>
              </w:rPr>
              <w:t xml:space="preserve">Market / Horizon / innovation  view on the state of the market, new innovations, key emerging opportunities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pPr>
            <w:r w:rsidDel="00000000" w:rsidR="00000000" w:rsidRPr="00000000">
              <w:rPr>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rPr/>
            </w:pPr>
            <w:r w:rsidDel="00000000" w:rsidR="00000000" w:rsidRPr="00000000">
              <w:rPr>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rPr/>
            </w:pPr>
            <w:r w:rsidDel="00000000" w:rsidR="00000000" w:rsidRPr="00000000">
              <w:rPr>
                <w:rtl w:val="0"/>
              </w:rPr>
              <w:t xml:space="preserve">1.5 Submission of Annual Customer Management and Mobilisation Plan within 90 days of Framework Award Date (year 1) and 30 days prior to Framework Start Date anniversary (subsequent years)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Confirmation of receipt and subsequent review by the Authority</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rPr/>
            </w:pPr>
            <w:r w:rsidDel="00000000" w:rsidR="00000000" w:rsidRPr="00000000">
              <w:rPr>
                <w:rtl w:val="0"/>
              </w:rPr>
              <w:t xml:space="preserve">1.6 Submission of at least one Case Study or Customer testimonial that can be used by CCS in its customer facing activities.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pPr>
            <w:r w:rsidDel="00000000" w:rsidR="00000000" w:rsidRPr="00000000">
              <w:rPr>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rPr/>
            </w:pPr>
            <w:r w:rsidDel="00000000" w:rsidR="00000000" w:rsidRPr="00000000">
              <w:rPr>
                <w:rtl w:val="0"/>
              </w:rPr>
              <w:t xml:space="preserve">Confirmation of receipt and subsequent review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rPr/>
            </w:pPr>
            <w:r w:rsidDel="00000000" w:rsidR="00000000" w:rsidRPr="00000000">
              <w:rPr>
                <w:rtl w:val="0"/>
              </w:rPr>
              <w:t xml:space="preserve">1.7 Customer rebates are paid to customers within 3 months of the rebate ‘due’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pPr>
            <w:r w:rsidDel="00000000" w:rsidR="00000000" w:rsidRPr="00000000">
              <w:rPr>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rPr/>
            </w:pPr>
            <w:r w:rsidDel="00000000" w:rsidR="00000000" w:rsidRPr="00000000">
              <w:rPr>
                <w:rtl w:val="0"/>
              </w:rPr>
              <w:t xml:space="preserve">Confirmation reports receipt and subsequent acknowledgement by the Authority</w:t>
            </w:r>
          </w:p>
        </w:tc>
      </w:tr>
    </w:tbl>
    <w:p w:rsidR="00000000" w:rsidDel="00000000" w:rsidP="00000000" w:rsidRDefault="00000000" w:rsidRPr="00000000" w14:paraId="0000005E">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6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6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62">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63">
      <w:pPr>
        <w:keepNext w:val="1"/>
        <w:keepLines w:val="1"/>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6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6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6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6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6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6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6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6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6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6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7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7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7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7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7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7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7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7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7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p>
    <w:p w:rsidR="00000000" w:rsidDel="00000000" w:rsidP="00000000" w:rsidRDefault="00000000" w:rsidRPr="00000000" w14:paraId="0000007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p>
    <w:p w:rsidR="00000000" w:rsidDel="00000000" w:rsidP="00000000" w:rsidRDefault="00000000" w:rsidRPr="00000000" w14:paraId="0000007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p>
    <w:p w:rsidR="00000000" w:rsidDel="00000000" w:rsidP="00000000" w:rsidRDefault="00000000" w:rsidRPr="00000000" w14:paraId="0000007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How the Supplier must support CCS involvement</w:t>
      </w:r>
    </w:p>
    <w:p w:rsidR="00000000" w:rsidDel="00000000" w:rsidP="00000000" w:rsidRDefault="00000000" w:rsidRPr="00000000" w14:paraId="0000007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7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8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8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8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8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8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8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89">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8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8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9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9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9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9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9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tab/>
      <w:t xml:space="preserve">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crown-commercial-service-supplier-logo-and-brand-guidelines" TargetMode="Externa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